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left w:w="0" w:type="dxa"/>
          <w:right w:w="0" w:type="dxa"/>
        </w:tblCellMar>
        <w:tblLook w:val="04A0"/>
      </w:tblPr>
      <w:tblGrid>
        <w:gridCol w:w="8306"/>
      </w:tblGrid>
      <w:tr w:rsidR="003F6F27" w:rsidRPr="00B06710" w:rsidTr="008F2E87">
        <w:trPr>
          <w:jc w:val="center"/>
        </w:trPr>
        <w:tc>
          <w:tcPr>
            <w:tcW w:w="0" w:type="auto"/>
            <w:vAlign w:val="center"/>
            <w:hideMark/>
          </w:tcPr>
          <w:tbl>
            <w:tblPr>
              <w:tblW w:w="4250" w:type="pct"/>
              <w:jc w:val="center"/>
              <w:tblCellMar>
                <w:left w:w="0" w:type="dxa"/>
                <w:right w:w="0" w:type="dxa"/>
              </w:tblCellMar>
              <w:tblLook w:val="04A0"/>
            </w:tblPr>
            <w:tblGrid>
              <w:gridCol w:w="7060"/>
            </w:tblGrid>
            <w:tr w:rsidR="003F6F27" w:rsidRPr="00B06710" w:rsidTr="008F2E87">
              <w:trPr>
                <w:trHeight w:val="1050"/>
                <w:jc w:val="center"/>
              </w:trPr>
              <w:tc>
                <w:tcPr>
                  <w:tcW w:w="0" w:type="auto"/>
                  <w:tcMar>
                    <w:top w:w="150" w:type="dxa"/>
                    <w:left w:w="300" w:type="dxa"/>
                    <w:bottom w:w="150" w:type="dxa"/>
                    <w:right w:w="300" w:type="dxa"/>
                  </w:tcMar>
                  <w:vAlign w:val="center"/>
                  <w:hideMark/>
                </w:tcPr>
                <w:p w:rsidR="003F6F27" w:rsidRPr="00B06710" w:rsidRDefault="003F6F27" w:rsidP="008F2E87">
                  <w:pPr>
                    <w:widowControl/>
                    <w:spacing w:line="360" w:lineRule="atLeast"/>
                    <w:jc w:val="center"/>
                    <w:rPr>
                      <w:rFonts w:ascii="宋体" w:eastAsia="宋体" w:hAnsi="宋体" w:cs="宋体"/>
                      <w:b/>
                      <w:bCs/>
                      <w:color w:val="AC3306"/>
                      <w:kern w:val="0"/>
                      <w:sz w:val="30"/>
                      <w:szCs w:val="30"/>
                    </w:rPr>
                  </w:pPr>
                  <w:r w:rsidRPr="00B06710">
                    <w:rPr>
                      <w:rFonts w:ascii="宋体" w:eastAsia="宋体" w:hAnsi="宋体" w:cs="宋体" w:hint="eastAsia"/>
                      <w:b/>
                      <w:bCs/>
                      <w:color w:val="AC3306"/>
                      <w:kern w:val="0"/>
                      <w:sz w:val="30"/>
                    </w:rPr>
                    <w:t>临床医学硕士专业学位研究生培养流程</w:t>
                  </w:r>
                </w:p>
              </w:tc>
            </w:tr>
          </w:tbl>
          <w:p w:rsidR="003F6F27" w:rsidRPr="00B06710" w:rsidRDefault="003F6F27" w:rsidP="008F2E87">
            <w:pPr>
              <w:widowControl/>
              <w:jc w:val="center"/>
              <w:rPr>
                <w:rFonts w:ascii="宋体" w:eastAsia="宋体" w:hAnsi="宋体" w:cs="宋体"/>
                <w:vanish/>
                <w:kern w:val="0"/>
                <w:sz w:val="18"/>
                <w:szCs w:val="18"/>
              </w:rPr>
            </w:pPr>
          </w:p>
          <w:tbl>
            <w:tblPr>
              <w:tblW w:w="4250" w:type="pct"/>
              <w:jc w:val="center"/>
              <w:tblCellMar>
                <w:left w:w="0" w:type="dxa"/>
                <w:right w:w="0" w:type="dxa"/>
              </w:tblCellMar>
              <w:tblLook w:val="04A0"/>
            </w:tblPr>
            <w:tblGrid>
              <w:gridCol w:w="7060"/>
            </w:tblGrid>
            <w:tr w:rsidR="003F6F27" w:rsidRPr="00B06710" w:rsidTr="008F2E87">
              <w:trPr>
                <w:trHeight w:val="60"/>
                <w:jc w:val="center"/>
              </w:trPr>
              <w:tc>
                <w:tcPr>
                  <w:tcW w:w="0" w:type="auto"/>
                  <w:vAlign w:val="center"/>
                  <w:hideMark/>
                </w:tcPr>
                <w:p w:rsidR="003F6F27" w:rsidRPr="00B06710" w:rsidRDefault="003F6F27" w:rsidP="008F2E87">
                  <w:pPr>
                    <w:widowControl/>
                    <w:spacing w:line="60" w:lineRule="atLeast"/>
                    <w:jc w:val="left"/>
                    <w:rPr>
                      <w:rFonts w:ascii="宋体" w:eastAsia="宋体" w:hAnsi="宋体" w:cs="宋体"/>
                      <w:kern w:val="0"/>
                      <w:sz w:val="18"/>
                      <w:szCs w:val="18"/>
                    </w:rPr>
                  </w:pPr>
                  <w:r>
                    <w:rPr>
                      <w:rFonts w:ascii="宋体" w:eastAsia="宋体" w:hAnsi="宋体" w:cs="宋体"/>
                      <w:noProof/>
                      <w:kern w:val="0"/>
                      <w:sz w:val="18"/>
                      <w:szCs w:val="18"/>
                    </w:rPr>
                    <w:drawing>
                      <wp:inline distT="0" distB="0" distL="0" distR="0">
                        <wp:extent cx="9525" cy="38100"/>
                        <wp:effectExtent l="19050" t="0" r="9525" b="0"/>
                        <wp:docPr id="5" name="图片 4" descr="http://yjsy.njmu.edu.cn/_upload/tpl/00/38/56/template56/images/main5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yjsy.njmu.edu.cn/_upload/tpl/00/38/56/template56/images/main5_4.gif"/>
                                <pic:cNvPicPr>
                                  <a:picLocks noChangeAspect="1" noChangeArrowheads="1"/>
                                </pic:cNvPicPr>
                              </pic:nvPicPr>
                              <pic:blipFill>
                                <a:blip r:embed="rId6"/>
                                <a:srcRect/>
                                <a:stretch>
                                  <a:fillRect/>
                                </a:stretch>
                              </pic:blipFill>
                              <pic:spPr bwMode="auto">
                                <a:xfrm>
                                  <a:off x="0" y="0"/>
                                  <a:ext cx="9525" cy="38100"/>
                                </a:xfrm>
                                <a:prstGeom prst="rect">
                                  <a:avLst/>
                                </a:prstGeom>
                                <a:noFill/>
                                <a:ln w="9525">
                                  <a:noFill/>
                                  <a:miter lim="800000"/>
                                  <a:headEnd/>
                                  <a:tailEnd/>
                                </a:ln>
                              </pic:spPr>
                            </pic:pic>
                          </a:graphicData>
                        </a:graphic>
                      </wp:inline>
                    </w:drawing>
                  </w:r>
                </w:p>
              </w:tc>
            </w:tr>
          </w:tbl>
          <w:p w:rsidR="003F6F27" w:rsidRPr="00B06710" w:rsidRDefault="003F6F27" w:rsidP="008F2E87">
            <w:pPr>
              <w:widowControl/>
              <w:jc w:val="center"/>
              <w:rPr>
                <w:rFonts w:ascii="宋体" w:eastAsia="宋体" w:hAnsi="宋体" w:cs="宋体"/>
                <w:vanish/>
                <w:kern w:val="0"/>
                <w:sz w:val="18"/>
                <w:szCs w:val="18"/>
              </w:rPr>
            </w:pPr>
          </w:p>
          <w:tbl>
            <w:tblPr>
              <w:tblW w:w="4250" w:type="pct"/>
              <w:jc w:val="center"/>
              <w:tblCellMar>
                <w:left w:w="0" w:type="dxa"/>
                <w:right w:w="0" w:type="dxa"/>
              </w:tblCellMar>
              <w:tblLook w:val="04A0"/>
            </w:tblPr>
            <w:tblGrid>
              <w:gridCol w:w="7060"/>
            </w:tblGrid>
            <w:tr w:rsidR="003F6F27" w:rsidRPr="00B06710" w:rsidTr="008F2E87">
              <w:trPr>
                <w:trHeight w:val="420"/>
                <w:jc w:val="center"/>
              </w:trPr>
              <w:tc>
                <w:tcPr>
                  <w:tcW w:w="0" w:type="auto"/>
                  <w:vAlign w:val="center"/>
                  <w:hideMark/>
                </w:tcPr>
                <w:p w:rsidR="003F6F27" w:rsidRPr="00B06710" w:rsidRDefault="003F6F27" w:rsidP="008F2E87">
                  <w:pPr>
                    <w:widowControl/>
                    <w:rPr>
                      <w:rFonts w:ascii="宋体" w:eastAsia="宋体" w:hAnsi="宋体" w:cs="宋体"/>
                      <w:color w:val="999999"/>
                      <w:kern w:val="0"/>
                      <w:sz w:val="18"/>
                      <w:szCs w:val="18"/>
                    </w:rPr>
                  </w:pPr>
                </w:p>
              </w:tc>
            </w:tr>
          </w:tbl>
          <w:p w:rsidR="003F6F27" w:rsidRPr="00B06710" w:rsidRDefault="003F6F27" w:rsidP="008F2E87">
            <w:pPr>
              <w:widowControl/>
              <w:jc w:val="center"/>
              <w:rPr>
                <w:rFonts w:ascii="宋体" w:eastAsia="宋体" w:hAnsi="宋体" w:cs="宋体"/>
                <w:vanish/>
                <w:kern w:val="0"/>
                <w:sz w:val="18"/>
                <w:szCs w:val="18"/>
              </w:rPr>
            </w:pPr>
          </w:p>
          <w:tbl>
            <w:tblPr>
              <w:tblW w:w="11850" w:type="dxa"/>
              <w:jc w:val="center"/>
              <w:tblCellMar>
                <w:left w:w="0" w:type="dxa"/>
                <w:right w:w="0" w:type="dxa"/>
              </w:tblCellMar>
              <w:tblLook w:val="04A0"/>
            </w:tblPr>
            <w:tblGrid>
              <w:gridCol w:w="11850"/>
            </w:tblGrid>
            <w:tr w:rsidR="003F6F27" w:rsidRPr="00B06710" w:rsidTr="008F2E87">
              <w:trPr>
                <w:trHeight w:val="300"/>
                <w:jc w:val="center"/>
              </w:trPr>
              <w:tc>
                <w:tcPr>
                  <w:tcW w:w="0" w:type="auto"/>
                  <w:vAlign w:val="center"/>
                  <w:hideMark/>
                </w:tcPr>
                <w:p w:rsidR="003F6F27" w:rsidRPr="00B06710" w:rsidRDefault="003F6F27" w:rsidP="008F2E87">
                  <w:pPr>
                    <w:widowControl/>
                    <w:jc w:val="left"/>
                    <w:rPr>
                      <w:rFonts w:ascii="宋体" w:eastAsia="宋体" w:hAnsi="宋体" w:cs="宋体"/>
                      <w:kern w:val="0"/>
                      <w:sz w:val="18"/>
                      <w:szCs w:val="18"/>
                    </w:rPr>
                  </w:pPr>
                </w:p>
              </w:tc>
            </w:tr>
          </w:tbl>
          <w:p w:rsidR="003F6F27" w:rsidRPr="00B06710" w:rsidRDefault="003F6F27" w:rsidP="008F2E87">
            <w:pPr>
              <w:widowControl/>
              <w:jc w:val="center"/>
              <w:rPr>
                <w:rFonts w:ascii="宋体" w:eastAsia="宋体" w:hAnsi="宋体" w:cs="宋体"/>
                <w:kern w:val="0"/>
                <w:sz w:val="18"/>
                <w:szCs w:val="18"/>
              </w:rPr>
            </w:pPr>
          </w:p>
        </w:tc>
      </w:tr>
    </w:tbl>
    <w:p w:rsidR="003F6F27" w:rsidRPr="00B06710" w:rsidRDefault="003F6F27" w:rsidP="003F6F27">
      <w:pPr>
        <w:widowControl/>
        <w:jc w:val="center"/>
        <w:rPr>
          <w:rFonts w:ascii="SimSun" w:eastAsia="宋体" w:hAnsi="SimSun" w:cs="宋体"/>
          <w:vanish/>
          <w:color w:val="333333"/>
          <w:kern w:val="0"/>
          <w:sz w:val="18"/>
          <w:szCs w:val="18"/>
        </w:rPr>
      </w:pPr>
    </w:p>
    <w:tbl>
      <w:tblPr>
        <w:tblW w:w="5000" w:type="pct"/>
        <w:jc w:val="center"/>
        <w:tblCellMar>
          <w:left w:w="0" w:type="dxa"/>
          <w:right w:w="0" w:type="dxa"/>
        </w:tblCellMar>
        <w:tblLook w:val="04A0"/>
      </w:tblPr>
      <w:tblGrid>
        <w:gridCol w:w="8306"/>
      </w:tblGrid>
      <w:tr w:rsidR="003F6F27" w:rsidRPr="00B06710" w:rsidTr="008F2E87">
        <w:trPr>
          <w:jc w:val="center"/>
        </w:trPr>
        <w:tc>
          <w:tcPr>
            <w:tcW w:w="0" w:type="auto"/>
            <w:hideMark/>
          </w:tcPr>
          <w:tbl>
            <w:tblPr>
              <w:tblW w:w="4250" w:type="pct"/>
              <w:jc w:val="center"/>
              <w:tblCellMar>
                <w:left w:w="0" w:type="dxa"/>
                <w:right w:w="0" w:type="dxa"/>
              </w:tblCellMar>
              <w:tblLook w:val="04A0"/>
            </w:tblPr>
            <w:tblGrid>
              <w:gridCol w:w="8071"/>
            </w:tblGrid>
            <w:tr w:rsidR="003F6F27" w:rsidRPr="00B06710" w:rsidTr="008F2E87">
              <w:trPr>
                <w:trHeight w:val="5400"/>
                <w:jc w:val="center"/>
              </w:trPr>
              <w:tc>
                <w:tcPr>
                  <w:tcW w:w="0" w:type="auto"/>
                  <w:hideMark/>
                </w:tcPr>
                <w:p w:rsidR="003F6F27" w:rsidRPr="00B06710" w:rsidRDefault="003F6F27" w:rsidP="008F2E87">
                  <w:pPr>
                    <w:widowControl/>
                    <w:spacing w:before="100" w:beforeAutospacing="1" w:after="100" w:afterAutospacing="1" w:line="360" w:lineRule="atLeast"/>
                    <w:jc w:val="left"/>
                    <w:rPr>
                      <w:rFonts w:ascii="宋体" w:eastAsia="宋体" w:hAnsi="宋体" w:cs="宋体"/>
                      <w:kern w:val="0"/>
                      <w:szCs w:val="21"/>
                    </w:rPr>
                  </w:pPr>
                  <w:r w:rsidRPr="00B06710">
                    <w:rPr>
                      <w:rFonts w:ascii="宋体" w:eastAsia="宋体" w:hAnsi="宋体" w:cs="宋体"/>
                      <w:kern w:val="0"/>
                      <w:szCs w:val="21"/>
                    </w:rPr>
                    <w:t> </w:t>
                  </w:r>
                </w:p>
                <w:tbl>
                  <w:tblPr>
                    <w:tblW w:w="8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28"/>
                    <w:gridCol w:w="1569"/>
                    <w:gridCol w:w="5158"/>
                  </w:tblGrid>
                  <w:tr w:rsidR="003F6F27" w:rsidRPr="00B06710" w:rsidTr="008F2E87">
                    <w:trPr>
                      <w:jc w:val="center"/>
                    </w:trPr>
                    <w:tc>
                      <w:tcPr>
                        <w:tcW w:w="3150" w:type="dxa"/>
                        <w:gridSpan w:val="2"/>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center"/>
                          <w:rPr>
                            <w:rFonts w:ascii="宋体" w:eastAsia="宋体" w:hAnsi="宋体" w:cs="宋体"/>
                            <w:kern w:val="0"/>
                            <w:szCs w:val="21"/>
                          </w:rPr>
                        </w:pPr>
                        <w:r w:rsidRPr="00B06710">
                          <w:rPr>
                            <w:rFonts w:ascii="宋体" w:eastAsia="宋体" w:hAnsi="宋体" w:cs="宋体"/>
                            <w:b/>
                            <w:bCs/>
                            <w:kern w:val="0"/>
                          </w:rPr>
                          <w:t>时    间</w:t>
                        </w:r>
                      </w:p>
                    </w:tc>
                    <w:tc>
                      <w:tcPr>
                        <w:tcW w:w="5685" w:type="dxa"/>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center"/>
                          <w:rPr>
                            <w:rFonts w:ascii="宋体" w:eastAsia="宋体" w:hAnsi="宋体" w:cs="宋体"/>
                            <w:kern w:val="0"/>
                            <w:szCs w:val="21"/>
                          </w:rPr>
                        </w:pPr>
                        <w:r w:rsidRPr="00B06710">
                          <w:rPr>
                            <w:rFonts w:ascii="宋体" w:eastAsia="宋体" w:hAnsi="宋体" w:cs="宋体"/>
                            <w:b/>
                            <w:bCs/>
                            <w:kern w:val="0"/>
                          </w:rPr>
                          <w:t>内    容</w:t>
                        </w:r>
                      </w:p>
                    </w:tc>
                  </w:tr>
                  <w:tr w:rsidR="003F6F27" w:rsidRPr="00B06710" w:rsidTr="008F2E87">
                    <w:trPr>
                      <w:jc w:val="center"/>
                    </w:trPr>
                    <w:tc>
                      <w:tcPr>
                        <w:tcW w:w="1425" w:type="dxa"/>
                        <w:vMerge w:val="restart"/>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center"/>
                          <w:rPr>
                            <w:rFonts w:ascii="宋体" w:eastAsia="宋体" w:hAnsi="宋体" w:cs="宋体"/>
                            <w:kern w:val="0"/>
                            <w:szCs w:val="21"/>
                          </w:rPr>
                        </w:pPr>
                        <w:r w:rsidRPr="00B06710">
                          <w:rPr>
                            <w:rFonts w:ascii="宋体" w:eastAsia="宋体" w:hAnsi="宋体" w:cs="宋体"/>
                            <w:kern w:val="0"/>
                            <w:szCs w:val="21"/>
                          </w:rPr>
                          <w:t>第一学年</w:t>
                        </w:r>
                      </w:p>
                      <w:p w:rsidR="003F6F27" w:rsidRPr="00B06710" w:rsidRDefault="003F6F27" w:rsidP="008F2E87">
                        <w:pPr>
                          <w:widowControl/>
                          <w:spacing w:line="360" w:lineRule="atLeast"/>
                          <w:jc w:val="center"/>
                          <w:rPr>
                            <w:rFonts w:ascii="宋体" w:eastAsia="宋体" w:hAnsi="宋体" w:cs="宋体"/>
                            <w:kern w:val="0"/>
                            <w:szCs w:val="21"/>
                          </w:rPr>
                        </w:pPr>
                        <w:r w:rsidRPr="00B06710">
                          <w:rPr>
                            <w:rFonts w:ascii="宋体" w:eastAsia="宋体" w:hAnsi="宋体" w:cs="宋体"/>
                            <w:kern w:val="0"/>
                            <w:szCs w:val="21"/>
                          </w:rPr>
                          <w:t>第一学期</w:t>
                        </w:r>
                      </w:p>
                    </w:tc>
                    <w:tc>
                      <w:tcPr>
                        <w:tcW w:w="1725" w:type="dxa"/>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center"/>
                          <w:rPr>
                            <w:rFonts w:ascii="宋体" w:eastAsia="宋体" w:hAnsi="宋体" w:cs="宋体"/>
                            <w:kern w:val="0"/>
                            <w:szCs w:val="21"/>
                          </w:rPr>
                        </w:pPr>
                        <w:r w:rsidRPr="00B06710">
                          <w:rPr>
                            <w:rFonts w:ascii="宋体" w:eastAsia="宋体" w:hAnsi="宋体" w:cs="宋体"/>
                            <w:kern w:val="0"/>
                            <w:szCs w:val="21"/>
                          </w:rPr>
                          <w:t>入学师生见面会</w:t>
                        </w:r>
                      </w:p>
                    </w:tc>
                    <w:tc>
                      <w:tcPr>
                        <w:tcW w:w="5685" w:type="dxa"/>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left"/>
                          <w:rPr>
                            <w:rFonts w:ascii="宋体" w:eastAsia="宋体" w:hAnsi="宋体" w:cs="宋体"/>
                            <w:kern w:val="0"/>
                            <w:szCs w:val="21"/>
                          </w:rPr>
                        </w:pPr>
                        <w:r w:rsidRPr="00B06710">
                          <w:rPr>
                            <w:rFonts w:ascii="宋体" w:eastAsia="宋体" w:hAnsi="宋体" w:cs="宋体"/>
                            <w:kern w:val="0"/>
                            <w:szCs w:val="21"/>
                          </w:rPr>
                          <w:t>        确定研究生学位课程。研究生处统一开设公共必修课和选修课，专业课和专业外语由导师与指导小组负责，研究生处和学院监督检查。</w:t>
                        </w:r>
                      </w:p>
                    </w:tc>
                  </w:tr>
                  <w:tr w:rsidR="003F6F27" w:rsidRPr="00B06710" w:rsidTr="008F2E8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jc w:val="left"/>
                          <w:rPr>
                            <w:rFonts w:ascii="宋体" w:eastAsia="宋体" w:hAnsi="宋体" w:cs="宋体"/>
                            <w:kern w:val="0"/>
                            <w:szCs w:val="21"/>
                          </w:rPr>
                        </w:pPr>
                      </w:p>
                    </w:tc>
                    <w:tc>
                      <w:tcPr>
                        <w:tcW w:w="1725" w:type="dxa"/>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center"/>
                          <w:rPr>
                            <w:rFonts w:ascii="宋体" w:eastAsia="宋体" w:hAnsi="宋体" w:cs="宋体"/>
                            <w:kern w:val="0"/>
                            <w:szCs w:val="21"/>
                          </w:rPr>
                        </w:pPr>
                        <w:r w:rsidRPr="00B06710">
                          <w:rPr>
                            <w:rFonts w:ascii="宋体" w:eastAsia="宋体" w:hAnsi="宋体" w:cs="宋体"/>
                            <w:kern w:val="0"/>
                            <w:szCs w:val="21"/>
                          </w:rPr>
                          <w:t>入学三个月内</w:t>
                        </w:r>
                      </w:p>
                    </w:tc>
                    <w:tc>
                      <w:tcPr>
                        <w:tcW w:w="5685" w:type="dxa"/>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left"/>
                          <w:rPr>
                            <w:rFonts w:ascii="宋体" w:eastAsia="宋体" w:hAnsi="宋体" w:cs="宋体"/>
                            <w:kern w:val="0"/>
                            <w:szCs w:val="21"/>
                          </w:rPr>
                        </w:pPr>
                        <w:r w:rsidRPr="00B06710">
                          <w:rPr>
                            <w:rFonts w:ascii="宋体" w:eastAsia="宋体" w:hAnsi="宋体" w:cs="宋体"/>
                            <w:kern w:val="0"/>
                            <w:szCs w:val="21"/>
                          </w:rPr>
                          <w:t>        完成研究生培养计划制定。</w:t>
                        </w:r>
                      </w:p>
                    </w:tc>
                  </w:tr>
                  <w:tr w:rsidR="003F6F27" w:rsidRPr="00B06710" w:rsidTr="008F2E8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jc w:val="left"/>
                          <w:rPr>
                            <w:rFonts w:ascii="宋体" w:eastAsia="宋体" w:hAnsi="宋体" w:cs="宋体"/>
                            <w:kern w:val="0"/>
                            <w:szCs w:val="21"/>
                          </w:rPr>
                        </w:pPr>
                      </w:p>
                    </w:tc>
                    <w:tc>
                      <w:tcPr>
                        <w:tcW w:w="1725" w:type="dxa"/>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center"/>
                          <w:rPr>
                            <w:rFonts w:ascii="宋体" w:eastAsia="宋体" w:hAnsi="宋体" w:cs="宋体"/>
                            <w:kern w:val="0"/>
                            <w:szCs w:val="21"/>
                          </w:rPr>
                        </w:pPr>
                        <w:r w:rsidRPr="00B06710">
                          <w:rPr>
                            <w:rFonts w:ascii="宋体" w:eastAsia="宋体" w:hAnsi="宋体" w:cs="宋体"/>
                            <w:kern w:val="0"/>
                            <w:szCs w:val="21"/>
                          </w:rPr>
                          <w:t> </w:t>
                        </w:r>
                      </w:p>
                    </w:tc>
                    <w:tc>
                      <w:tcPr>
                        <w:tcW w:w="5685" w:type="dxa"/>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left"/>
                          <w:rPr>
                            <w:rFonts w:ascii="宋体" w:eastAsia="宋体" w:hAnsi="宋体" w:cs="宋体"/>
                            <w:kern w:val="0"/>
                            <w:szCs w:val="21"/>
                          </w:rPr>
                        </w:pPr>
                        <w:r w:rsidRPr="00B06710">
                          <w:rPr>
                            <w:rFonts w:ascii="宋体" w:eastAsia="宋体" w:hAnsi="宋体" w:cs="宋体"/>
                            <w:kern w:val="0"/>
                            <w:szCs w:val="21"/>
                          </w:rPr>
                          <w:t>        完成学位课程学习。</w:t>
                        </w:r>
                      </w:p>
                    </w:tc>
                  </w:tr>
                  <w:tr w:rsidR="003F6F27" w:rsidRPr="00B06710" w:rsidTr="008F2E87">
                    <w:trPr>
                      <w:jc w:val="center"/>
                    </w:trPr>
                    <w:tc>
                      <w:tcPr>
                        <w:tcW w:w="3150" w:type="dxa"/>
                        <w:gridSpan w:val="2"/>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center"/>
                          <w:rPr>
                            <w:rFonts w:ascii="宋体" w:eastAsia="宋体" w:hAnsi="宋体" w:cs="宋体"/>
                            <w:kern w:val="0"/>
                            <w:szCs w:val="21"/>
                          </w:rPr>
                        </w:pPr>
                        <w:r w:rsidRPr="00B06710">
                          <w:rPr>
                            <w:rFonts w:ascii="宋体" w:eastAsia="宋体" w:hAnsi="宋体" w:cs="宋体"/>
                            <w:kern w:val="0"/>
                            <w:szCs w:val="21"/>
                          </w:rPr>
                          <w:t>第一学年第二学期 </w:t>
                        </w:r>
                      </w:p>
                    </w:tc>
                    <w:tc>
                      <w:tcPr>
                        <w:tcW w:w="5685" w:type="dxa"/>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left"/>
                          <w:rPr>
                            <w:rFonts w:ascii="宋体" w:eastAsia="宋体" w:hAnsi="宋体" w:cs="宋体"/>
                            <w:kern w:val="0"/>
                            <w:szCs w:val="21"/>
                          </w:rPr>
                        </w:pPr>
                        <w:r w:rsidRPr="00B06710">
                          <w:rPr>
                            <w:rFonts w:ascii="宋体" w:eastAsia="宋体" w:hAnsi="宋体" w:cs="宋体"/>
                            <w:kern w:val="0"/>
                            <w:szCs w:val="21"/>
                          </w:rPr>
                          <w:t>       按照《培养方案》要求，进入临床科室进行轮转。</w:t>
                        </w:r>
                      </w:p>
                    </w:tc>
                  </w:tr>
                  <w:tr w:rsidR="003F6F27" w:rsidRPr="00B06710" w:rsidTr="008F2E87">
                    <w:trPr>
                      <w:jc w:val="center"/>
                    </w:trPr>
                    <w:tc>
                      <w:tcPr>
                        <w:tcW w:w="3150" w:type="dxa"/>
                        <w:gridSpan w:val="2"/>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center"/>
                          <w:rPr>
                            <w:rFonts w:ascii="宋体" w:eastAsia="宋体" w:hAnsi="宋体" w:cs="宋体"/>
                            <w:kern w:val="0"/>
                            <w:szCs w:val="21"/>
                          </w:rPr>
                        </w:pPr>
                        <w:r w:rsidRPr="00B06710">
                          <w:rPr>
                            <w:rFonts w:ascii="宋体" w:eastAsia="宋体" w:hAnsi="宋体" w:cs="宋体"/>
                            <w:kern w:val="0"/>
                            <w:szCs w:val="21"/>
                          </w:rPr>
                          <w:t>第二学年第一学期</w:t>
                        </w:r>
                      </w:p>
                    </w:tc>
                    <w:tc>
                      <w:tcPr>
                        <w:tcW w:w="5685" w:type="dxa"/>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left"/>
                          <w:rPr>
                            <w:rFonts w:ascii="宋体" w:eastAsia="宋体" w:hAnsi="宋体" w:cs="宋体"/>
                            <w:kern w:val="0"/>
                            <w:szCs w:val="21"/>
                          </w:rPr>
                        </w:pPr>
                        <w:r w:rsidRPr="00B06710">
                          <w:rPr>
                            <w:rFonts w:ascii="宋体" w:eastAsia="宋体" w:hAnsi="宋体" w:cs="宋体"/>
                            <w:kern w:val="0"/>
                            <w:szCs w:val="21"/>
                          </w:rPr>
                          <w:t>        继续在所要求科室进行临床技能训练，在各个专科轮转结束时由考核小组组织考核。</w:t>
                        </w:r>
                      </w:p>
                    </w:tc>
                  </w:tr>
                  <w:tr w:rsidR="003F6F27" w:rsidRPr="00B06710" w:rsidTr="008F2E87">
                    <w:trPr>
                      <w:jc w:val="center"/>
                    </w:trPr>
                    <w:tc>
                      <w:tcPr>
                        <w:tcW w:w="3150" w:type="dxa"/>
                        <w:gridSpan w:val="2"/>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center"/>
                          <w:rPr>
                            <w:rFonts w:ascii="宋体" w:eastAsia="宋体" w:hAnsi="宋体" w:cs="宋体"/>
                            <w:kern w:val="0"/>
                            <w:szCs w:val="21"/>
                          </w:rPr>
                        </w:pPr>
                        <w:r w:rsidRPr="00B06710">
                          <w:rPr>
                            <w:rFonts w:ascii="宋体" w:eastAsia="宋体" w:hAnsi="宋体" w:cs="宋体"/>
                            <w:kern w:val="0"/>
                            <w:szCs w:val="21"/>
                          </w:rPr>
                          <w:t>第二学年第二学期</w:t>
                        </w:r>
                      </w:p>
                    </w:tc>
                    <w:tc>
                      <w:tcPr>
                        <w:tcW w:w="5685" w:type="dxa"/>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left"/>
                          <w:rPr>
                            <w:rFonts w:ascii="宋体" w:eastAsia="宋体" w:hAnsi="宋体" w:cs="宋体"/>
                            <w:kern w:val="0"/>
                            <w:szCs w:val="21"/>
                          </w:rPr>
                        </w:pPr>
                        <w:r w:rsidRPr="00B06710">
                          <w:rPr>
                            <w:rFonts w:ascii="宋体" w:eastAsia="宋体" w:hAnsi="宋体" w:cs="宋体"/>
                            <w:kern w:val="0"/>
                            <w:szCs w:val="21"/>
                          </w:rPr>
                          <w:t>        在进行临床技能训练的同时完成专业课和专业外语等的学习并取得学分。</w:t>
                        </w:r>
                      </w:p>
                    </w:tc>
                  </w:tr>
                  <w:tr w:rsidR="003F6F27" w:rsidRPr="00B06710" w:rsidTr="008F2E87">
                    <w:trPr>
                      <w:jc w:val="center"/>
                    </w:trPr>
                    <w:tc>
                      <w:tcPr>
                        <w:tcW w:w="3150" w:type="dxa"/>
                        <w:gridSpan w:val="2"/>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center"/>
                          <w:rPr>
                            <w:rFonts w:ascii="宋体" w:eastAsia="宋体" w:hAnsi="宋体" w:cs="宋体"/>
                            <w:kern w:val="0"/>
                            <w:szCs w:val="21"/>
                          </w:rPr>
                        </w:pPr>
                        <w:r w:rsidRPr="00B06710">
                          <w:rPr>
                            <w:rFonts w:ascii="宋体" w:eastAsia="宋体" w:hAnsi="宋体" w:cs="宋体"/>
                            <w:kern w:val="0"/>
                            <w:szCs w:val="21"/>
                          </w:rPr>
                          <w:t>第三学年第一学期</w:t>
                        </w:r>
                      </w:p>
                    </w:tc>
                    <w:tc>
                      <w:tcPr>
                        <w:tcW w:w="5685" w:type="dxa"/>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left"/>
                          <w:rPr>
                            <w:rFonts w:ascii="宋体" w:eastAsia="宋体" w:hAnsi="宋体" w:cs="宋体"/>
                            <w:kern w:val="0"/>
                            <w:szCs w:val="21"/>
                          </w:rPr>
                        </w:pPr>
                        <w:r w:rsidRPr="00B06710">
                          <w:rPr>
                            <w:rFonts w:ascii="宋体" w:eastAsia="宋体" w:hAnsi="宋体" w:cs="宋体"/>
                            <w:kern w:val="0"/>
                            <w:szCs w:val="21"/>
                          </w:rPr>
                          <w:t>        继续进行临床技能训练，重点掌握专科临床技能。进行临床实际能力考核，考核其理论知识的运用和临床思维能力。</w:t>
                        </w:r>
                      </w:p>
                    </w:tc>
                  </w:tr>
                  <w:tr w:rsidR="003F6F27" w:rsidRPr="00B06710" w:rsidTr="008F2E87">
                    <w:trPr>
                      <w:jc w:val="center"/>
                    </w:trPr>
                    <w:tc>
                      <w:tcPr>
                        <w:tcW w:w="3150" w:type="dxa"/>
                        <w:gridSpan w:val="2"/>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center"/>
                          <w:rPr>
                            <w:rFonts w:ascii="宋体" w:eastAsia="宋体" w:hAnsi="宋体" w:cs="宋体"/>
                            <w:kern w:val="0"/>
                            <w:szCs w:val="21"/>
                          </w:rPr>
                        </w:pPr>
                        <w:r w:rsidRPr="00B06710">
                          <w:rPr>
                            <w:rFonts w:ascii="宋体" w:eastAsia="宋体" w:hAnsi="宋体" w:cs="宋体"/>
                            <w:kern w:val="0"/>
                            <w:szCs w:val="21"/>
                          </w:rPr>
                          <w:t>第三学年第二学期</w:t>
                        </w:r>
                      </w:p>
                    </w:tc>
                    <w:tc>
                      <w:tcPr>
                        <w:tcW w:w="5685" w:type="dxa"/>
                        <w:tcBorders>
                          <w:top w:val="outset" w:sz="6" w:space="0" w:color="auto"/>
                          <w:left w:val="outset" w:sz="6" w:space="0" w:color="auto"/>
                          <w:bottom w:val="outset" w:sz="6" w:space="0" w:color="auto"/>
                          <w:right w:val="outset" w:sz="6" w:space="0" w:color="auto"/>
                        </w:tcBorders>
                        <w:vAlign w:val="center"/>
                        <w:hideMark/>
                      </w:tcPr>
                      <w:p w:rsidR="003F6F27" w:rsidRPr="00B06710" w:rsidRDefault="003F6F27" w:rsidP="008F2E87">
                        <w:pPr>
                          <w:widowControl/>
                          <w:spacing w:line="360" w:lineRule="atLeast"/>
                          <w:jc w:val="left"/>
                          <w:rPr>
                            <w:rFonts w:ascii="宋体" w:eastAsia="宋体" w:hAnsi="宋体" w:cs="宋体"/>
                            <w:kern w:val="0"/>
                            <w:szCs w:val="21"/>
                          </w:rPr>
                        </w:pPr>
                        <w:r w:rsidRPr="00B06710">
                          <w:rPr>
                            <w:rFonts w:ascii="宋体" w:eastAsia="宋体" w:hAnsi="宋体" w:cs="宋体"/>
                            <w:kern w:val="0"/>
                            <w:szCs w:val="21"/>
                          </w:rPr>
                          <w:t>        同时查阅文献，写出综述或病例总结分析，通过临床综合技能考核，申请答辩。每年在4月20日之前提交答辩申请，并于6月15日之前完成答辩</w:t>
                        </w:r>
                      </w:p>
                    </w:tc>
                  </w:tr>
                </w:tbl>
                <w:p w:rsidR="003F6F27" w:rsidRPr="00B06710" w:rsidRDefault="003F6F27" w:rsidP="008F2E87">
                  <w:pPr>
                    <w:widowControl/>
                    <w:spacing w:line="360" w:lineRule="atLeast"/>
                    <w:jc w:val="center"/>
                    <w:rPr>
                      <w:rFonts w:ascii="宋体" w:eastAsia="宋体" w:hAnsi="宋体" w:cs="宋体"/>
                      <w:kern w:val="0"/>
                      <w:szCs w:val="21"/>
                    </w:rPr>
                  </w:pPr>
                </w:p>
              </w:tc>
            </w:tr>
          </w:tbl>
          <w:p w:rsidR="003F6F27" w:rsidRPr="00B06710" w:rsidRDefault="003F6F27" w:rsidP="008F2E87">
            <w:pPr>
              <w:widowControl/>
              <w:jc w:val="center"/>
              <w:rPr>
                <w:rFonts w:ascii="宋体" w:eastAsia="宋体" w:hAnsi="宋体" w:cs="宋体"/>
                <w:kern w:val="0"/>
                <w:sz w:val="18"/>
                <w:szCs w:val="18"/>
              </w:rPr>
            </w:pPr>
          </w:p>
        </w:tc>
      </w:tr>
    </w:tbl>
    <w:p w:rsidR="00520ECF" w:rsidRPr="003F6F27" w:rsidRDefault="00520ECF"/>
    <w:sectPr w:rsidR="00520ECF" w:rsidRPr="003F6F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ECF" w:rsidRDefault="00520ECF" w:rsidP="003F6F27">
      <w:r>
        <w:separator/>
      </w:r>
    </w:p>
  </w:endnote>
  <w:endnote w:type="continuationSeparator" w:id="1">
    <w:p w:rsidR="00520ECF" w:rsidRDefault="00520ECF" w:rsidP="003F6F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ECF" w:rsidRDefault="00520ECF" w:rsidP="003F6F27">
      <w:r>
        <w:separator/>
      </w:r>
    </w:p>
  </w:footnote>
  <w:footnote w:type="continuationSeparator" w:id="1">
    <w:p w:rsidR="00520ECF" w:rsidRDefault="00520ECF" w:rsidP="003F6F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6F27"/>
    <w:rsid w:val="003F6F27"/>
    <w:rsid w:val="00520E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F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F6F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F6F27"/>
    <w:rPr>
      <w:sz w:val="18"/>
      <w:szCs w:val="18"/>
    </w:rPr>
  </w:style>
  <w:style w:type="paragraph" w:styleId="a4">
    <w:name w:val="footer"/>
    <w:basedOn w:val="a"/>
    <w:link w:val="Char0"/>
    <w:uiPriority w:val="99"/>
    <w:semiHidden/>
    <w:unhideWhenUsed/>
    <w:rsid w:val="003F6F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F6F27"/>
    <w:rPr>
      <w:sz w:val="18"/>
      <w:szCs w:val="18"/>
    </w:rPr>
  </w:style>
  <w:style w:type="paragraph" w:styleId="a5">
    <w:name w:val="Balloon Text"/>
    <w:basedOn w:val="a"/>
    <w:link w:val="Char1"/>
    <w:uiPriority w:val="99"/>
    <w:semiHidden/>
    <w:unhideWhenUsed/>
    <w:rsid w:val="003F6F27"/>
    <w:rPr>
      <w:sz w:val="18"/>
      <w:szCs w:val="18"/>
    </w:rPr>
  </w:style>
  <w:style w:type="character" w:customStyle="1" w:styleId="Char1">
    <w:name w:val="批注框文本 Char"/>
    <w:basedOn w:val="a0"/>
    <w:link w:val="a5"/>
    <w:uiPriority w:val="99"/>
    <w:semiHidden/>
    <w:rsid w:val="003F6F2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2017-08-09T06:35:00Z</dcterms:created>
  <dcterms:modified xsi:type="dcterms:W3CDTF">2017-08-09T06:54:00Z</dcterms:modified>
</cp:coreProperties>
</file>